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8A" w:rsidRPr="00A8498A" w:rsidRDefault="00A8498A" w:rsidP="00A84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49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COVID-19. Еще раз о том, что это и как с этим бороться</w:t>
      </w:r>
    </w:p>
    <w:p w:rsidR="00A8498A" w:rsidRPr="00A8498A" w:rsidRDefault="00A8498A" w:rsidP="00A849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498A" w:rsidRPr="00A8498A" w:rsidRDefault="00A8498A" w:rsidP="00A8498A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1B7AE97" wp14:editId="4EB1A169">
            <wp:simplePos x="0" y="0"/>
            <wp:positionH relativeFrom="column">
              <wp:posOffset>27940</wp:posOffset>
            </wp:positionH>
            <wp:positionV relativeFrom="paragraph">
              <wp:posOffset>173990</wp:posOffset>
            </wp:positionV>
            <wp:extent cx="4276725" cy="2787650"/>
            <wp:effectExtent l="0" t="0" r="9525" b="0"/>
            <wp:wrapTight wrapText="bothSides">
              <wp:wrapPolygon edited="0">
                <wp:start x="0" y="0"/>
                <wp:lineTo x="0" y="21403"/>
                <wp:lineTo x="21552" y="21403"/>
                <wp:lineTo x="21552" y="0"/>
                <wp:lineTo x="0" y="0"/>
              </wp:wrapPolygon>
            </wp:wrapTight>
            <wp:docPr id="1" name="Рисунок 1" descr="https://admin.cgon.ru/storage/unxHfSK0945uLROb1tfjdYbH67X1bV7x42DMPA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nxHfSK0945uLROb1tfjdYbH67X1bV7x42DMPAD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преддверии осеннего периода мы хотим напомнить, что </w:t>
      </w:r>
      <w:proofErr w:type="gramStart"/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>из себя представляет</w:t>
      </w:r>
      <w:proofErr w:type="gramEnd"/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насколько важно и дальше соблюдать меры личной и общественной безопасности.</w:t>
      </w:r>
    </w:p>
    <w:p w:rsidR="00A8498A" w:rsidRPr="00A8498A" w:rsidRDefault="00A8498A" w:rsidP="00A849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К счастью, большинство людей продолжают соблюдать основные рекомендации, направленные на ограничение распространения новой </w:t>
      </w:r>
      <w:proofErr w:type="spellStart"/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инфекции. Но, также есть немало людей, которые игнорируют необходимые меры безопасности. Если мы не изменим данную ситуацию, то рискуем потерять все наши достижения  и имеющийся в настоящее время контроль над COVID-19.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Какова санитарно-эпидемиологическая ситуация по новой </w:t>
      </w:r>
      <w:proofErr w:type="spellStart"/>
      <w:r w:rsidRPr="00A8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на территории Орловской области в настоящее время?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63D2FFC" wp14:editId="64669E1A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A8498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эпидемического процесса COVID-19 на территории региона на сегодняшний день  высокая. За 34 календарную неделю 2022 года (22.08.2022 – 28.08.2022) на территории Орловской области зарегистрировано 1 364 случая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Показатель заболеваемости  COVID-19  составил 188,22 на 100 тысяч населения, что на 22,1% выше, чем на прошлой неделе. 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территории Орловской области с населением 724686 человек   за период с 1 января 2022 года по 28 августа  2022 года зарегистрировано 47973 случая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017C6B" wp14:editId="150EE80B">
            <wp:simplePos x="0" y="0"/>
            <wp:positionH relativeFrom="column">
              <wp:posOffset>2827020</wp:posOffset>
            </wp:positionH>
            <wp:positionV relativeFrom="paragraph">
              <wp:posOffset>383540</wp:posOffset>
            </wp:positionV>
            <wp:extent cx="4005580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70" y="21497"/>
                <wp:lineTo x="21470" y="0"/>
                <wp:lineTo x="0" y="0"/>
              </wp:wrapPolygon>
            </wp:wrapTight>
            <wp:docPr id="2" name="Рисунок 6" descr="https://admin.cgon.ru/storage/RHX0v6Anmf3zJ5M1IKJdmJMzdAFpaC73SKBokW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RHX0v6Anmf3zJ5M1IKJdmJMzdAFpaC73SKBokWm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Коэффициент распространения инфекции (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Rt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состоянию на 30.08.2022 года составляет 1,13.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Динамика заболеваемости по сравнению с прошлой неделей составила +22,1% (1,2 раза).</w:t>
      </w:r>
      <w:r w:rsidRPr="00A849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Заболеваемость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 регистрировалась на территории  всех 25 районов области.  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Несмотря на рост заболеваемости, случаи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протекают, преимущественно, в легкой форме. На 34 календарной неделе в удельном весе заболевших лиц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инфекцией: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лица с признаками ОРВИ составили 90,98% (1241 случаев); 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заболевшие лица   пневмониями составили 7,70% (105 случаев);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лица без клинических проявлений – 1,32% (18 случая).</w:t>
      </w: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За последнюю неделю в общей структуре заболевших доля детского населения составила 6,96 % (95 случаев, показатель заболеваемости - 71,48 на 100 тысяч населения данной возрастной группы). 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Доля взрослого населения  составила 93,04 % (1269 случаев, показатель заболеваемости -214,44 на 100 тысяч населения данной возрастной группы).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98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AA391F" wp14:editId="075E5273">
            <wp:simplePos x="0" y="0"/>
            <wp:positionH relativeFrom="column">
              <wp:posOffset>5080</wp:posOffset>
            </wp:positionH>
            <wp:positionV relativeFrom="paragraph">
              <wp:posOffset>94615</wp:posOffset>
            </wp:positionV>
            <wp:extent cx="323977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3" name="Рисунок 4" descr="https://admin.cgon.ru/storage/SjfrJM412sioEbIEMdy0CorIY3Q2tiBhviLmTl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SjfrJM412sioEbIEMdy0CorIY3Q2tiBhviLmTld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 возрастной структуре заболевших на 34 календарной неделе  доля лиц в возрасте 40-64 года составляет – 43,18%;  возрасте старше 65 лет составляет -25,95%;    в возрасте 18-39 лет   составляет – 23,90%; в возрасте от 7-14 лет составляет – 1,76%; в возрасте 0-6 лет составляет – 4,77%; в возрасте 15-17 лет составляет – 0,44%.</w:t>
      </w: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8498A" w:rsidRPr="00A8498A" w:rsidRDefault="00A8498A" w:rsidP="00A8498A">
      <w:pPr>
        <w:tabs>
          <w:tab w:val="left" w:pos="284"/>
        </w:tabs>
        <w:spacing w:after="160"/>
        <w:ind w:righ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На 34 календарной неделе в сравнении с предыдущей неделей отмечается рост заболеваемости  новой </w:t>
      </w:r>
      <w:proofErr w:type="spellStart"/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A849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инфекцией во всех возрастных группах, за исключением 15-17 лет.</w:t>
      </w:r>
    </w:p>
    <w:p w:rsidR="00A8498A" w:rsidRPr="00A8498A" w:rsidRDefault="00A8498A" w:rsidP="00A8498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5976F3B" wp14:editId="2D931788">
            <wp:simplePos x="0" y="0"/>
            <wp:positionH relativeFrom="column">
              <wp:posOffset>-126365</wp:posOffset>
            </wp:positionH>
            <wp:positionV relativeFrom="paragraph">
              <wp:posOffset>198120</wp:posOffset>
            </wp:positionV>
            <wp:extent cx="3941445" cy="2708910"/>
            <wp:effectExtent l="0" t="0" r="1905" b="0"/>
            <wp:wrapTight wrapText="bothSides">
              <wp:wrapPolygon edited="0">
                <wp:start x="0" y="0"/>
                <wp:lineTo x="0" y="21418"/>
                <wp:lineTo x="21506" y="21418"/>
                <wp:lineTo x="21506" y="0"/>
                <wp:lineTo x="0" y="0"/>
              </wp:wrapPolygon>
            </wp:wrapTight>
            <wp:docPr id="4" name="Рисунок 19" descr="C:\Users\Frolova_IN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olova_IN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Какова процедура вакцинации против новой </w:t>
      </w:r>
      <w:proofErr w:type="spellStart"/>
      <w:r w:rsidRPr="00A8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инфекции?</w:t>
      </w:r>
    </w:p>
    <w:p w:rsidR="00A8498A" w:rsidRPr="00A8498A" w:rsidRDefault="00A8498A" w:rsidP="00A849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98A">
        <w:rPr>
          <w:rFonts w:ascii="Calibri" w:eastAsia="Calibri" w:hAnsi="Calibri" w:cs="Times New Roman"/>
        </w:rPr>
        <w:tab/>
      </w:r>
      <w:r w:rsidRPr="00A8498A">
        <w:rPr>
          <w:rFonts w:ascii="Times New Roman" w:eastAsia="Calibri" w:hAnsi="Times New Roman" w:cs="Times New Roman"/>
          <w:sz w:val="28"/>
          <w:szCs w:val="28"/>
        </w:rPr>
        <w:t>Процедура вакцинации начинается с осмотра врача, который принимает решение о возможности вакцинации, дает пациенту полную информацию о необходимости прививок, последствиях отказа от них и возможных поствакцинальных осложнениях.</w:t>
      </w:r>
    </w:p>
    <w:p w:rsidR="00A8498A" w:rsidRPr="00A8498A" w:rsidRDefault="00A8498A" w:rsidP="00A849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98A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Отказ от вакцинации повышает риск инфицирования не только самих </w:t>
      </w:r>
      <w:proofErr w:type="spellStart"/>
      <w:r w:rsidRPr="00A8498A">
        <w:rPr>
          <w:rFonts w:ascii="Times New Roman" w:eastAsia="Calibri" w:hAnsi="Times New Roman" w:cs="Times New Roman"/>
          <w:sz w:val="28"/>
          <w:szCs w:val="28"/>
        </w:rPr>
        <w:t>непривитых</w:t>
      </w:r>
      <w:proofErr w:type="spellEnd"/>
      <w:r w:rsidRPr="00A8498A">
        <w:rPr>
          <w:rFonts w:ascii="Times New Roman" w:eastAsia="Calibri" w:hAnsi="Times New Roman" w:cs="Times New Roman"/>
          <w:sz w:val="28"/>
          <w:szCs w:val="28"/>
        </w:rPr>
        <w:t>, но и тех, кто по медицинским показаниям не подлежит вакцинации, включая детей, не достигших возраста, рекомендованного для введения той или иной вакцины.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Временными методическими рекомендациями: «Порядок проведения вакцинации взрослого населения против COVID-19» Минздрава РФ, вакцинация граждан разделяется на «рутинную</w:t>
      </w:r>
      <w:bookmarkStart w:id="0" w:name="_GoBack"/>
      <w:bookmarkEnd w:id="0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«экстренную». С учетом неблагоприятной эпидемической ситуации в Российской Федерации до достижения уровня коллективного иммунитета осуществляется «экстренная» вакцинация.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по эпидемическим показаниям после </w:t>
      </w: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 месяцев после перенесенного заболевания (в том числе у ранее вакцинированных лиц) или после 6 месяцев после предыдущей вакцинации («экстренная» вакцинация).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После достижения необходимого целевого показателя уровня коллективного иммунитета осуществить переход на «рутинную» вакцинацию в плановом режиме, при котором вакцинация против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проводится через 12 месяцев после перенесенного заболевания или предыдущей вакцинации против COVID-19.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Первичная вакцинация - первичное в анамнезе пациента введение иммунобиологического препарата (вакцины) для профилактики COVID-19 (количество вводимых доз определяется официальной инструкцией к препарату).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Ревакцинация (повторная вакцинация) - вакцинация через 6 месяцев после введения последней дозы вакцины первичной вакцинации или предыдущей ревакцинации (количество вводимых доз определяется официальной инструкцией к препарату),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Наличие антител к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 не влияет на принятие решения о вакцинации, так как, согласно данным международных экспертных сообществ, отсутствуют методы исследований и тест-системы, позволяющие подтвердить взаимосвязь между наличием антител и степенью, и продолжительностью защиты.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Учитывая то, что вакцины против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являются не живыми, строго придерживаться интервала вакцинации против новой </w:t>
      </w:r>
      <w:proofErr w:type="spellStart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и гриппа в 1 месяц не требуется.</w:t>
      </w:r>
    </w:p>
    <w:p w:rsidR="00A8498A" w:rsidRPr="00A8498A" w:rsidRDefault="00A8498A" w:rsidP="00A8498A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84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сохранения Вашего здоровья и здоровья Вашего ребенка примите решение в пользу вакцинации!</w:t>
      </w:r>
    </w:p>
    <w:p w:rsidR="00FC4885" w:rsidRDefault="00FC4885"/>
    <w:sectPr w:rsidR="00FC4885" w:rsidSect="00A84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7C8"/>
    <w:rsid w:val="005E17C8"/>
    <w:rsid w:val="00A8498A"/>
    <w:rsid w:val="00FC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836</Words>
  <Characters>4767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</cp:revision>
  <dcterms:created xsi:type="dcterms:W3CDTF">2022-09-09T12:56:00Z</dcterms:created>
  <dcterms:modified xsi:type="dcterms:W3CDTF">2022-09-09T13:00:00Z</dcterms:modified>
</cp:coreProperties>
</file>